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b w:val="1"/>
          <w:color w:val="ff0000"/>
          <w:sz w:val="52"/>
          <w:szCs w:val="52"/>
          <w:u w:val="single"/>
        </w:rPr>
      </w:pPr>
      <w:r w:rsidDel="00000000" w:rsidR="00000000" w:rsidRPr="00000000">
        <w:rPr>
          <w:b w:val="1"/>
          <w:color w:val="ff0000"/>
          <w:sz w:val="52"/>
          <w:szCs w:val="52"/>
          <w:u w:val="single"/>
          <w:rtl w:val="0"/>
        </w:rPr>
        <w:t xml:space="preserve">List of ABLs in North America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35.0" w:type="dxa"/>
        <w:jc w:val="left"/>
        <w:tblInd w:w="0.0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4A0"/>
      </w:tblPr>
      <w:tblGrid>
        <w:gridCol w:w="960"/>
        <w:gridCol w:w="3445"/>
        <w:gridCol w:w="4230"/>
        <w:tblGridChange w:id="0">
          <w:tblGrid>
            <w:gridCol w:w="960"/>
            <w:gridCol w:w="3445"/>
            <w:gridCol w:w="4230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Arial Black" w:cs="Arial Black" w:eastAsia="Arial Black" w:hAnsi="Arial Black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24"/>
                <w:szCs w:val="24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Arial Black" w:cs="Arial Black" w:eastAsia="Arial Black" w:hAnsi="Arial Black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24"/>
                <w:szCs w:val="24"/>
                <w:rtl w:val="0"/>
              </w:rPr>
              <w:t xml:space="preserve">CITY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Arial Black" w:cs="Arial Black" w:eastAsia="Arial Black" w:hAnsi="Arial Black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sz w:val="24"/>
                <w:szCs w:val="24"/>
                <w:rtl w:val="0"/>
              </w:rPr>
              <w:t xml:space="preserve">STREET NAME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Alexandria, 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Potomac Greens Drive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Bloomington, 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East 7th Street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Boulder, 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Harvard Lane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Burlington, VT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Flynn Avenue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Cambridge, 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Irving Street &amp; Scott Street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Cambridge, 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Lakeview Avenue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Edina, MN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54th Street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Edina, MN (removed)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Wooddale Avenue (removed)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Hanover, NH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Valley Road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Minneapolis, MN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East 14th/Grant Street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Ottawa, ON, Canada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Somerset Street East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Sandpoint, 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Oak Street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Hailey, 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2nd Avenue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Chicago, 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W. Argyle Street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Chicago, 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Leland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Grand Rapids, MI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Jefferson Ave SE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Yarmouth, 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Morton Rd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Minneapolis, MN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West 46th Street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Minneapolis, MN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East 54th Street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Scarborough, 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Eastern Rd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Hailey, 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2nd Ave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Facilities which I call near-ABLs are not included in this list. These include the “half-ABLs” on Shaws Rd in Gibsons, B.C. and Summer Street in Somerville, MA among others.</w:t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Michael Williams</w:t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b w:val="1"/>
      <w:color w:val="ff000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contextualSpacing w:val="1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